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9E37E">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jc w:val="center"/>
        <w:textAlignment w:val="auto"/>
        <w:rPr>
          <w:rFonts w:hint="eastAsia" w:ascii="方正公文小标宋" w:hAnsi="方正公文小标宋" w:eastAsia="方正公文小标宋" w:cs="方正公文小标宋"/>
          <w:b w:val="0"/>
          <w:bCs w:val="0"/>
          <w:color w:val="000000"/>
          <w:sz w:val="44"/>
          <w:szCs w:val="44"/>
          <w:lang w:eastAsia="zh-CN"/>
        </w:rPr>
      </w:pPr>
    </w:p>
    <w:p w14:paraId="503383F6">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jc w:val="center"/>
        <w:textAlignment w:val="auto"/>
        <w:rPr>
          <w:rFonts w:hint="eastAsia" w:ascii="方正公文小标宋" w:hAnsi="方正公文小标宋" w:eastAsia="方正公文小标宋" w:cs="方正公文小标宋"/>
          <w:b w:val="0"/>
          <w:bCs w:val="0"/>
          <w:color w:val="000000"/>
          <w:sz w:val="44"/>
          <w:szCs w:val="44"/>
        </w:rPr>
      </w:pPr>
      <w:r>
        <w:rPr>
          <w:rFonts w:hint="eastAsia" w:ascii="方正公文小标宋" w:hAnsi="方正公文小标宋" w:eastAsia="方正公文小标宋" w:cs="方正公文小标宋"/>
          <w:b w:val="0"/>
          <w:bCs w:val="0"/>
          <w:color w:val="000000"/>
          <w:sz w:val="44"/>
          <w:szCs w:val="44"/>
          <w:lang w:eastAsia="zh-CN"/>
        </w:rPr>
        <w:t>《</w:t>
      </w:r>
      <w:r>
        <w:rPr>
          <w:rFonts w:hint="eastAsia" w:ascii="方正公文小标宋" w:hAnsi="方正公文小标宋" w:eastAsia="方正公文小标宋" w:cs="方正公文小标宋"/>
          <w:b w:val="0"/>
          <w:bCs w:val="0"/>
          <w:color w:val="000000"/>
          <w:sz w:val="44"/>
          <w:szCs w:val="44"/>
        </w:rPr>
        <w:t>泰州医药高新区（高港区）“阳光征收”</w:t>
      </w:r>
    </w:p>
    <w:p w14:paraId="5A4C0D7F">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jc w:val="center"/>
        <w:textAlignment w:val="auto"/>
        <w:rPr>
          <w:rFonts w:hint="eastAsia" w:ascii="方正公文小标宋" w:hAnsi="方正公文小标宋" w:eastAsia="方正公文小标宋" w:cs="方正公文小标宋"/>
          <w:b w:val="0"/>
          <w:bCs w:val="0"/>
          <w:color w:val="000000"/>
          <w:sz w:val="44"/>
          <w:szCs w:val="44"/>
        </w:rPr>
      </w:pPr>
      <w:r>
        <w:rPr>
          <w:rFonts w:hint="eastAsia" w:ascii="方正公文小标宋" w:hAnsi="方正公文小标宋" w:eastAsia="方正公文小标宋" w:cs="方正公文小标宋"/>
          <w:b w:val="0"/>
          <w:bCs w:val="0"/>
          <w:color w:val="000000"/>
          <w:sz w:val="44"/>
          <w:szCs w:val="44"/>
        </w:rPr>
        <w:t>实施意见（试行）</w:t>
      </w:r>
      <w:r>
        <w:rPr>
          <w:rFonts w:hint="eastAsia" w:ascii="方正公文小标宋" w:hAnsi="方正公文小标宋" w:eastAsia="方正公文小标宋" w:cs="方正公文小标宋"/>
          <w:b w:val="0"/>
          <w:bCs w:val="0"/>
          <w:color w:val="000000"/>
          <w:sz w:val="44"/>
          <w:szCs w:val="44"/>
          <w:lang w:eastAsia="zh-CN"/>
        </w:rPr>
        <w:t>》</w:t>
      </w:r>
      <w:r>
        <w:rPr>
          <w:rFonts w:hint="eastAsia" w:ascii="方正公文小标宋" w:hAnsi="方正公文小标宋" w:eastAsia="方正公文小标宋" w:cs="方正公文小标宋"/>
          <w:b w:val="0"/>
          <w:bCs w:val="0"/>
          <w:color w:val="000000"/>
          <w:sz w:val="44"/>
          <w:szCs w:val="44"/>
        </w:rPr>
        <w:t>政策解读</w:t>
      </w:r>
    </w:p>
    <w:p w14:paraId="03B1880B">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jc w:val="left"/>
        <w:textAlignment w:val="auto"/>
        <w:rPr>
          <w:rFonts w:hint="eastAsia" w:ascii="方正仿宋_GB18030" w:hAnsi="方正仿宋_GB18030" w:eastAsia="方正仿宋_GB18030" w:cs="方正仿宋_GB18030"/>
          <w:b w:val="0"/>
          <w:bCs w:val="0"/>
          <w:color w:val="000000"/>
          <w:kern w:val="0"/>
          <w:sz w:val="32"/>
          <w:szCs w:val="32"/>
          <w:lang w:val="en-US" w:eastAsia="zh-CN" w:bidi="ar"/>
        </w:rPr>
      </w:pPr>
    </w:p>
    <w:p w14:paraId="23D517CB">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仿宋_GB18030" w:hAnsi="方正仿宋_GB18030" w:eastAsia="方正仿宋_GB18030" w:cs="方正仿宋_GB18030"/>
          <w:b w:val="0"/>
          <w:bCs w:val="0"/>
          <w:color w:val="000000"/>
          <w:kern w:val="0"/>
          <w:sz w:val="32"/>
          <w:szCs w:val="32"/>
          <w:lang w:val="en-US" w:eastAsia="zh-CN" w:bidi="ar"/>
        </w:rPr>
        <w:t>为规范全区房屋征收（搬迁）补偿安置行为，提升工作透明度和公信力，充分保障被征收（搬迁）人合法权益，我局牵头起草了《泰州医药高新区（高港区）“阳光征收”实施意见（试行）》（以下简称《意见》），现就《意见》</w:t>
      </w:r>
      <w:r>
        <w:rPr>
          <w:rFonts w:hint="eastAsia" w:ascii="仿宋_GB2312" w:hAnsi="微软雅黑" w:eastAsia="仿宋_GB2312" w:cs="Times New Roman"/>
          <w:b w:val="0"/>
          <w:bCs w:val="0"/>
          <w:color w:val="000000" w:themeColor="text1"/>
          <w:kern w:val="2"/>
          <w:sz w:val="32"/>
          <w:szCs w:val="32"/>
          <w14:textFill>
            <w14:solidFill>
              <w14:schemeClr w14:val="tx1"/>
            </w14:solidFill>
          </w14:textFill>
        </w:rPr>
        <w:t>起草情况说明如下：</w:t>
      </w:r>
    </w:p>
    <w:p w14:paraId="23083AF4">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一、起草背景</w:t>
      </w:r>
    </w:p>
    <w:p w14:paraId="62CF9D05">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仿宋_GB18030" w:hAnsi="方正仿宋_GB18030" w:eastAsia="方正仿宋_GB18030" w:cs="方正仿宋_GB18030"/>
          <w:b w:val="0"/>
          <w:bCs w:val="0"/>
          <w:color w:val="000000"/>
          <w:kern w:val="0"/>
          <w:sz w:val="32"/>
          <w:szCs w:val="32"/>
          <w:lang w:val="en-US" w:eastAsia="zh-CN" w:bidi="ar"/>
        </w:rPr>
        <w:t>房屋征收（搬迁）工作事关群众切身利益、城市建设发展和社会和谐稳定。为进一步规范我区国有土地上房屋征收和集体土地房屋搬迁补偿安置工作，破解征收工作中信息不透明、流程不规范、群众信任度不足等问题，切实维护被征收（搬迁）人合法权益，让征收（搬迁）工作在“阳光下运行”，结合我区实际，制定本《意见》，为全区房屋征收（搬迁）工作提供标准化、规范化的制度遵循。</w:t>
      </w:r>
    </w:p>
    <w:p w14:paraId="6C39F795">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黑体" w:hAnsi="黑体" w:eastAsia="黑体" w:cs="黑体"/>
          <w:color w:val="000000"/>
          <w:sz w:val="32"/>
          <w:szCs w:val="32"/>
        </w:rPr>
      </w:pPr>
      <w:r>
        <w:rPr>
          <w:rFonts w:hint="eastAsia" w:ascii="黑体" w:hAnsi="黑体" w:eastAsia="黑体" w:cs="黑体"/>
          <w:b w:val="0"/>
          <w:bCs w:val="0"/>
          <w:color w:val="000000"/>
          <w:sz w:val="32"/>
          <w:szCs w:val="32"/>
        </w:rPr>
        <w:t>二、</w:t>
      </w:r>
      <w:r>
        <w:rPr>
          <w:rFonts w:hint="eastAsia" w:ascii="黑体" w:hAnsi="黑体" w:eastAsia="黑体" w:cs="黑体"/>
          <w:color w:val="000000"/>
          <w:sz w:val="32"/>
          <w:szCs w:val="32"/>
        </w:rPr>
        <w:t>制定依据</w:t>
      </w:r>
    </w:p>
    <w:p w14:paraId="448294E8">
      <w:pPr>
        <w:keepNext/>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32" w:firstLineChars="200"/>
        <w:jc w:val="left"/>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sz w:val="32"/>
          <w:szCs w:val="32"/>
          <w:lang w:val="en-US" w:eastAsia="zh-CN"/>
        </w:rPr>
        <w:t>1.</w:t>
      </w:r>
      <w:r>
        <w:rPr>
          <w:rFonts w:hint="eastAsia" w:ascii="方正仿宋_GB18030" w:hAnsi="方正仿宋_GB18030" w:eastAsia="方正仿宋_GB18030" w:cs="方正仿宋_GB18030"/>
          <w:color w:val="000000"/>
          <w:sz w:val="32"/>
          <w:szCs w:val="32"/>
        </w:rPr>
        <w:t>《中华人民共和国土地管理法》（2019年修正），全国人民代表大会常务委员会2019年8月26日发布，自2020年1月1日起施行；</w:t>
      </w:r>
    </w:p>
    <w:p w14:paraId="050885BD">
      <w:pPr>
        <w:keepNext/>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Chars="0" w:right="0" w:rightChars="0" w:firstLine="632" w:firstLineChars="200"/>
        <w:jc w:val="left"/>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sz w:val="32"/>
          <w:szCs w:val="32"/>
          <w:lang w:val="en-US" w:eastAsia="zh-CN"/>
        </w:rPr>
        <w:t>2.</w:t>
      </w:r>
      <w:r>
        <w:rPr>
          <w:rFonts w:hint="eastAsia" w:ascii="方正仿宋_GB18030" w:hAnsi="方正仿宋_GB18030" w:eastAsia="方正仿宋_GB18030" w:cs="方正仿宋_GB18030"/>
          <w:color w:val="000000"/>
          <w:sz w:val="32"/>
          <w:szCs w:val="32"/>
        </w:rPr>
        <w:t>《中华人民共和国土地管理法实施条例》（2021年修订），国务院2021年7月2日发布，自2021年9月1日起施行；</w:t>
      </w:r>
    </w:p>
    <w:p w14:paraId="1C624FE5">
      <w:pPr>
        <w:keepNext/>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Chars="0" w:right="0" w:rightChars="0" w:firstLine="632" w:firstLineChars="200"/>
        <w:jc w:val="left"/>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sz w:val="32"/>
          <w:szCs w:val="32"/>
          <w:lang w:val="en-US" w:eastAsia="zh-CN"/>
        </w:rPr>
        <w:t>3.</w:t>
      </w:r>
      <w:r>
        <w:rPr>
          <w:rFonts w:hint="eastAsia" w:ascii="方正仿宋_GB18030" w:hAnsi="方正仿宋_GB18030" w:eastAsia="方正仿宋_GB18030" w:cs="方正仿宋_GB18030"/>
          <w:color w:val="000000"/>
          <w:sz w:val="32"/>
          <w:szCs w:val="32"/>
        </w:rPr>
        <w:t>《国有土地上房屋征收与补偿条例》（国务院令第590号），国务院2011年1月21日发布，自2011年1月21日起施行；</w:t>
      </w:r>
    </w:p>
    <w:p w14:paraId="073731A0">
      <w:pPr>
        <w:keepNext/>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Chars="0" w:right="0" w:rightChars="0" w:firstLine="632" w:firstLineChars="200"/>
        <w:jc w:val="left"/>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sz w:val="32"/>
          <w:szCs w:val="32"/>
          <w:lang w:val="en-US" w:eastAsia="zh-CN"/>
        </w:rPr>
        <w:t>4.</w:t>
      </w:r>
      <w:r>
        <w:rPr>
          <w:rFonts w:hint="eastAsia" w:ascii="方正仿宋_GB18030" w:hAnsi="方正仿宋_GB18030" w:eastAsia="方正仿宋_GB18030" w:cs="方正仿宋_GB18030"/>
          <w:color w:val="000000"/>
          <w:sz w:val="32"/>
          <w:szCs w:val="32"/>
        </w:rPr>
        <w:t>《泰州市国有土地上房屋征收与补偿办法》（泰政规〔2021〕3号），泰州市人民政府2021年6月1日发布，自2021年8月1日起施行；</w:t>
      </w:r>
    </w:p>
    <w:p w14:paraId="693D36DA">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方正仿宋_GB18030" w:hAnsi="方正仿宋_GB18030" w:eastAsia="方正仿宋_GB18030" w:cs="方正仿宋_GB18030"/>
          <w:b w:val="0"/>
          <w:bCs w:val="0"/>
          <w:color w:val="000000"/>
          <w:kern w:val="2"/>
          <w:sz w:val="32"/>
          <w:szCs w:val="32"/>
          <w:lang w:val="en-US" w:eastAsia="zh-CN" w:bidi="ar-SA"/>
        </w:rPr>
      </w:pPr>
      <w:r>
        <w:rPr>
          <w:rFonts w:hint="eastAsia" w:ascii="方正仿宋_GB18030" w:hAnsi="方正仿宋_GB18030" w:eastAsia="方正仿宋_GB18030" w:cs="方正仿宋_GB18030"/>
          <w:b w:val="0"/>
          <w:bCs w:val="0"/>
          <w:color w:val="000000"/>
          <w:kern w:val="2"/>
          <w:sz w:val="32"/>
          <w:szCs w:val="32"/>
          <w:lang w:val="en-US" w:eastAsia="zh-CN" w:bidi="ar-SA"/>
        </w:rPr>
        <w:t>5.《中华人民共和国政府信息公开条例》（2019年修订），国务院2019年4月3日发布，自2019年5月15日起施行。</w:t>
      </w:r>
    </w:p>
    <w:p w14:paraId="7190723B">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三、核心定义与基本原则</w:t>
      </w:r>
    </w:p>
    <w:p w14:paraId="56A231D2">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方正楷体_GB2312" w:hAnsi="方正楷体_GB2312" w:eastAsia="方正楷体_GB2312" w:cs="方正楷体_GB2312"/>
          <w:b w:val="0"/>
          <w:bCs w:val="0"/>
          <w:color w:val="000000"/>
          <w:sz w:val="32"/>
          <w:szCs w:val="32"/>
        </w:rPr>
      </w:pPr>
      <w:r>
        <w:rPr>
          <w:rFonts w:hint="eastAsia" w:ascii="方正楷体_GB2312" w:hAnsi="方正楷体_GB2312" w:eastAsia="方正楷体_GB2312" w:cs="方正楷体_GB2312"/>
          <w:b w:val="0"/>
          <w:bCs w:val="0"/>
          <w:color w:val="000000"/>
          <w:sz w:val="32"/>
          <w:szCs w:val="32"/>
        </w:rPr>
        <w:t>（一）核心定义</w:t>
      </w:r>
    </w:p>
    <w:p w14:paraId="67357BE3">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仿宋_GB18030" w:hAnsi="方正仿宋_GB18030" w:eastAsia="方正仿宋_GB18030" w:cs="方正仿宋_GB18030"/>
          <w:b w:val="0"/>
          <w:bCs w:val="0"/>
          <w:color w:val="000000"/>
          <w:kern w:val="0"/>
          <w:sz w:val="32"/>
          <w:szCs w:val="32"/>
          <w:lang w:val="en-US" w:eastAsia="zh-CN" w:bidi="ar"/>
        </w:rPr>
        <w:t>“阳光征收”是指在我区国有土地上房屋征收和集体土地房屋搬迁补偿安置工作中，将与征收（搬迁）相关的政策法规、工作程序、补偿结果等信息，在规定时间和范围内全面公开，主动接受社会公众和被征收（搬迁）群众监督的工作模式，核心是实现征收（搬迁）工作全流程公开、透明、可追溯。</w:t>
      </w:r>
    </w:p>
    <w:p w14:paraId="5918F24A">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楷体_GB2312" w:hAnsi="方正楷体_GB2312" w:eastAsia="方正楷体_GB2312" w:cs="方正楷体_GB2312"/>
          <w:b w:val="0"/>
          <w:bCs w:val="0"/>
          <w:color w:val="000000"/>
          <w:sz w:val="32"/>
          <w:szCs w:val="32"/>
        </w:rPr>
      </w:pPr>
      <w:r>
        <w:rPr>
          <w:rFonts w:hint="eastAsia" w:ascii="方正楷体_GB2312" w:hAnsi="方正楷体_GB2312" w:eastAsia="方正楷体_GB2312" w:cs="方正楷体_GB2312"/>
          <w:b w:val="0"/>
          <w:bCs w:val="0"/>
          <w:color w:val="000000"/>
          <w:sz w:val="32"/>
          <w:szCs w:val="32"/>
        </w:rPr>
        <w:t>（二）基本原则</w:t>
      </w:r>
    </w:p>
    <w:p w14:paraId="31CADEFC">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仿宋_GB18030" w:hAnsi="方正仿宋_GB18030" w:eastAsia="方正仿宋_GB18030" w:cs="方正仿宋_GB18030"/>
          <w:b w:val="0"/>
          <w:bCs w:val="0"/>
          <w:color w:val="000000"/>
          <w:kern w:val="0"/>
          <w:sz w:val="32"/>
          <w:szCs w:val="32"/>
          <w:lang w:val="en-US" w:eastAsia="zh-CN" w:bidi="ar"/>
        </w:rPr>
        <w:t>“阳光征收”工作坚持</w:t>
      </w:r>
      <w:r>
        <w:rPr>
          <w:rStyle w:val="10"/>
          <w:rFonts w:hint="eastAsia" w:ascii="方正仿宋_GB18030" w:hAnsi="方正仿宋_GB18030" w:eastAsia="方正仿宋_GB18030" w:cs="方正仿宋_GB18030"/>
          <w:b w:val="0"/>
          <w:bCs w:val="0"/>
          <w:color w:val="000000"/>
          <w:kern w:val="0"/>
          <w:sz w:val="32"/>
          <w:szCs w:val="32"/>
          <w:lang w:val="en-US" w:eastAsia="zh-CN" w:bidi="ar"/>
        </w:rPr>
        <w:t>决策民主、程序正当、补偿公平、结果公开</w:t>
      </w:r>
      <w:r>
        <w:rPr>
          <w:rFonts w:hint="eastAsia" w:ascii="方正仿宋_GB18030" w:hAnsi="方正仿宋_GB18030" w:eastAsia="方正仿宋_GB18030" w:cs="方正仿宋_GB18030"/>
          <w:b w:val="0"/>
          <w:bCs w:val="0"/>
          <w:color w:val="000000"/>
          <w:kern w:val="0"/>
          <w:sz w:val="32"/>
          <w:szCs w:val="32"/>
          <w:lang w:val="en-US" w:eastAsia="zh-CN" w:bidi="ar"/>
        </w:rPr>
        <w:t>四大原则，贯穿房屋征收（搬迁）补偿安置全流程，确保每一个环节都依规操作、每一项结果都公平公正、每一条信息都及时公开。</w:t>
      </w:r>
    </w:p>
    <w:p w14:paraId="239E734C">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四、职责分工明确，压实工作责任</w:t>
      </w:r>
    </w:p>
    <w:p w14:paraId="444E7EEC">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kern w:val="0"/>
          <w:sz w:val="32"/>
          <w:szCs w:val="32"/>
          <w:lang w:val="en-US" w:eastAsia="zh-CN" w:bidi="ar"/>
        </w:rPr>
      </w:pPr>
      <w:r>
        <w:rPr>
          <w:rFonts w:hint="eastAsia" w:ascii="方正仿宋_GB18030" w:hAnsi="方正仿宋_GB18030" w:eastAsia="方正仿宋_GB18030" w:cs="方正仿宋_GB18030"/>
          <w:b w:val="0"/>
          <w:bCs w:val="0"/>
          <w:color w:val="000000"/>
          <w:kern w:val="0"/>
          <w:sz w:val="32"/>
          <w:szCs w:val="32"/>
          <w:lang w:val="en-US" w:eastAsia="zh-CN" w:bidi="ar"/>
        </w:rPr>
        <w:t>为保障“阳光征收”工作落地见效，《意见》明确了各相关单位的职责分工，形成“主管部门监管、委托单位指导、责任主体实施、相关部门配合”的工作体系：</w:t>
      </w:r>
    </w:p>
    <w:p w14:paraId="7F23FFD0">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1.区住建局：</w:t>
      </w:r>
      <w:r>
        <w:rPr>
          <w:rFonts w:hint="eastAsia" w:ascii="方正仿宋_GB18030" w:hAnsi="方正仿宋_GB18030" w:eastAsia="方正仿宋_GB18030" w:cs="方正仿宋_GB18030"/>
          <w:b w:val="0"/>
          <w:bCs w:val="0"/>
          <w:color w:val="000000"/>
          <w:sz w:val="32"/>
          <w:szCs w:val="32"/>
        </w:rPr>
        <w:t>作为全区房屋征收（搬迁）补偿主管部门，对全区“阳光征收”工作实施统一监管；</w:t>
      </w:r>
    </w:p>
    <w:p w14:paraId="4A2146F3">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2.区住房保障服务中心：</w:t>
      </w:r>
      <w:r>
        <w:rPr>
          <w:rFonts w:hint="eastAsia" w:ascii="方正仿宋_GB18030" w:hAnsi="方正仿宋_GB18030" w:eastAsia="方正仿宋_GB18030" w:cs="方正仿宋_GB18030"/>
          <w:b w:val="0"/>
          <w:bCs w:val="0"/>
          <w:color w:val="000000"/>
          <w:sz w:val="32"/>
          <w:szCs w:val="32"/>
        </w:rPr>
        <w:t>受区住建局委托，负责征收（搬迁）日常管理，指导、督查“阳光征收”工作落实；</w:t>
      </w:r>
    </w:p>
    <w:p w14:paraId="6C2A2D81">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3.各镇（街道）：</w:t>
      </w:r>
      <w:r>
        <w:rPr>
          <w:rFonts w:hint="eastAsia" w:ascii="方正仿宋_GB18030" w:hAnsi="方正仿宋_GB18030" w:eastAsia="方正仿宋_GB18030" w:cs="方正仿宋_GB18030"/>
          <w:b w:val="0"/>
          <w:bCs w:val="0"/>
          <w:color w:val="000000"/>
          <w:sz w:val="32"/>
          <w:szCs w:val="32"/>
        </w:rPr>
        <w:t>作为房屋征收（搬迁）责任主体，承担具体实施工作，负责信息公开和“阳光征收”具体事宜；</w:t>
      </w:r>
    </w:p>
    <w:p w14:paraId="0FADEDB9">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4.区相关职能部门：</w:t>
      </w:r>
      <w:r>
        <w:rPr>
          <w:rFonts w:hint="eastAsia" w:ascii="方正仿宋_GB18030" w:hAnsi="方正仿宋_GB18030" w:eastAsia="方正仿宋_GB18030" w:cs="方正仿宋_GB18030"/>
          <w:b w:val="0"/>
          <w:bCs w:val="0"/>
          <w:color w:val="000000"/>
          <w:sz w:val="32"/>
          <w:szCs w:val="32"/>
        </w:rPr>
        <w:t>按照职责分工，积极履行“阳光征收”相关职能，协同推进工作开展。</w:t>
      </w:r>
    </w:p>
    <w:p w14:paraId="47B730EA">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五、公开内容全面，实现全流程透明</w:t>
      </w:r>
    </w:p>
    <w:p w14:paraId="4C56673B">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kern w:val="0"/>
          <w:sz w:val="32"/>
          <w:szCs w:val="32"/>
          <w:lang w:val="en-US" w:eastAsia="zh-CN" w:bidi="ar"/>
        </w:rPr>
      </w:pPr>
      <w:r>
        <w:rPr>
          <w:rFonts w:hint="eastAsia" w:ascii="方正仿宋_GB18030" w:hAnsi="方正仿宋_GB18030" w:eastAsia="方正仿宋_GB18030" w:cs="方正仿宋_GB18030"/>
          <w:b w:val="0"/>
          <w:bCs w:val="0"/>
          <w:color w:val="000000"/>
          <w:kern w:val="0"/>
          <w:sz w:val="32"/>
          <w:szCs w:val="32"/>
          <w:lang w:val="en-US" w:eastAsia="zh-CN" w:bidi="ar"/>
        </w:rPr>
        <w:t>《意见》明确了“阳光征收”必须公开的八大类核心信息，覆盖房屋征收（搬迁）从前期准备到选房结算的全流程，确保被征收（搬迁）人对关键信息“应知尽知”，具体公开内容包括：</w:t>
      </w:r>
    </w:p>
    <w:p w14:paraId="153A2434">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1.第三方服务机构信息：</w:t>
      </w:r>
      <w:r>
        <w:rPr>
          <w:rFonts w:hint="eastAsia" w:ascii="方正仿宋_GB18030" w:hAnsi="方正仿宋_GB18030" w:eastAsia="方正仿宋_GB18030" w:cs="方正仿宋_GB18030"/>
          <w:b w:val="0"/>
          <w:bCs w:val="0"/>
          <w:color w:val="000000"/>
          <w:sz w:val="32"/>
          <w:szCs w:val="32"/>
        </w:rPr>
        <w:t>公开实施、评估、测绘、审计单位的名称、地址、法定代表人及工作人员联系方式；</w:t>
      </w:r>
    </w:p>
    <w:p w14:paraId="0BA00801">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2.补偿安置实施方案：</w:t>
      </w:r>
      <w:r>
        <w:rPr>
          <w:rFonts w:hint="eastAsia" w:ascii="方正仿宋_GB18030" w:hAnsi="方正仿宋_GB18030" w:eastAsia="方正仿宋_GB18030" w:cs="方正仿宋_GB18030"/>
          <w:b w:val="0"/>
          <w:bCs w:val="0"/>
          <w:color w:val="000000"/>
          <w:sz w:val="32"/>
          <w:szCs w:val="32"/>
        </w:rPr>
        <w:t>明确项目范围、补偿标准、合法面积认定、优惠购房、签约奖励、补助奖励等核心内容；</w:t>
      </w:r>
    </w:p>
    <w:p w14:paraId="2AB0F42E">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3.工作流程与纪律：</w:t>
      </w:r>
      <w:r>
        <w:rPr>
          <w:rFonts w:hint="eastAsia" w:ascii="方正仿宋_GB18030" w:hAnsi="方正仿宋_GB18030" w:eastAsia="方正仿宋_GB18030" w:cs="方正仿宋_GB18030"/>
          <w:b w:val="0"/>
          <w:bCs w:val="0"/>
          <w:color w:val="000000"/>
          <w:sz w:val="32"/>
          <w:szCs w:val="32"/>
        </w:rPr>
        <w:t>公示各单位工作职责及入户调查、评估对接、协议签订、分户审计、腾空交房等流程，同时公开工作人员廉洁自律规定；</w:t>
      </w:r>
    </w:p>
    <w:p w14:paraId="4F655EF3">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4.合法补偿面积：</w:t>
      </w:r>
      <w:r>
        <w:rPr>
          <w:rFonts w:hint="eastAsia" w:ascii="方正仿宋_GB18030" w:hAnsi="方正仿宋_GB18030" w:eastAsia="方正仿宋_GB18030" w:cs="方正仿宋_GB18030"/>
          <w:b w:val="0"/>
          <w:bCs w:val="0"/>
          <w:color w:val="000000"/>
          <w:sz w:val="32"/>
          <w:szCs w:val="32"/>
        </w:rPr>
        <w:t>经区相关部门联合认定、现场指挥部审核后的合法补偿面积汇总审批表；</w:t>
      </w:r>
    </w:p>
    <w:p w14:paraId="76DB6B82">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5.安置房源信息：</w:t>
      </w:r>
      <w:r>
        <w:rPr>
          <w:rFonts w:hint="eastAsia" w:ascii="方正仿宋_GB18030" w:hAnsi="方正仿宋_GB18030" w:eastAsia="方正仿宋_GB18030" w:cs="方正仿宋_GB18030"/>
          <w:b w:val="0"/>
          <w:bCs w:val="0"/>
          <w:color w:val="000000"/>
          <w:sz w:val="32"/>
          <w:szCs w:val="32"/>
        </w:rPr>
        <w:t>各安置小区平面布置图、户型图、户型面积等；</w:t>
      </w:r>
    </w:p>
    <w:p w14:paraId="0F3394FE">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6.分户评估报告：</w:t>
      </w:r>
      <w:r>
        <w:rPr>
          <w:rFonts w:hint="eastAsia" w:ascii="方正仿宋_GB18030" w:hAnsi="方正仿宋_GB18030" w:eastAsia="方正仿宋_GB18030" w:cs="方正仿宋_GB18030"/>
          <w:b w:val="0"/>
          <w:bCs w:val="0"/>
          <w:color w:val="000000"/>
          <w:sz w:val="32"/>
          <w:szCs w:val="32"/>
        </w:rPr>
        <w:t>房屋结构、面积、成新、装潢及附属物评估信息，漏项增补需单独出具报告并公示；</w:t>
      </w:r>
    </w:p>
    <w:p w14:paraId="27D23424">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7.补偿结果：</w:t>
      </w:r>
      <w:r>
        <w:rPr>
          <w:rFonts w:hint="eastAsia" w:ascii="方正仿宋_GB18030" w:hAnsi="方正仿宋_GB18030" w:eastAsia="方正仿宋_GB18030" w:cs="方正仿宋_GB18030"/>
          <w:b w:val="0"/>
          <w:bCs w:val="0"/>
          <w:color w:val="000000"/>
          <w:sz w:val="32"/>
          <w:szCs w:val="32"/>
        </w:rPr>
        <w:t>补偿安置协议核心内容，包括补偿总额、各类补助奖励、优惠购房的面积、套数、地址等；</w:t>
      </w:r>
    </w:p>
    <w:p w14:paraId="741531E3">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8.选房相关信息：</w:t>
      </w:r>
      <w:r>
        <w:rPr>
          <w:rFonts w:hint="eastAsia" w:ascii="方正仿宋_GB18030" w:hAnsi="方正仿宋_GB18030" w:eastAsia="方正仿宋_GB18030" w:cs="方正仿宋_GB18030"/>
          <w:b w:val="0"/>
          <w:bCs w:val="0"/>
          <w:color w:val="000000"/>
          <w:sz w:val="32"/>
          <w:szCs w:val="32"/>
        </w:rPr>
        <w:t>经公证处公证的选房顺序号、按顺序产生的选房结果。</w:t>
      </w:r>
    </w:p>
    <w:p w14:paraId="109B9899">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六、公示方式规范，保障公开实效</w:t>
      </w:r>
    </w:p>
    <w:p w14:paraId="49C7CE2B">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kern w:val="0"/>
          <w:sz w:val="32"/>
          <w:szCs w:val="32"/>
          <w:lang w:val="en-US" w:eastAsia="zh-CN" w:bidi="ar"/>
        </w:rPr>
      </w:pPr>
      <w:r>
        <w:rPr>
          <w:rFonts w:hint="eastAsia" w:ascii="方正仿宋_GB18030" w:hAnsi="方正仿宋_GB18030" w:eastAsia="方正仿宋_GB18030" w:cs="方正仿宋_GB18030"/>
          <w:b w:val="0"/>
          <w:bCs w:val="0"/>
          <w:color w:val="000000"/>
          <w:kern w:val="0"/>
          <w:sz w:val="32"/>
          <w:szCs w:val="32"/>
          <w:lang w:val="en-US" w:eastAsia="zh-CN" w:bidi="ar"/>
        </w:rPr>
        <w:t>“阳光征收”实行</w:t>
      </w:r>
      <w:r>
        <w:rPr>
          <w:rStyle w:val="10"/>
          <w:rFonts w:hint="eastAsia" w:ascii="方正仿宋_GB18030" w:hAnsi="方正仿宋_GB18030" w:eastAsia="方正仿宋_GB18030" w:cs="方正仿宋_GB18030"/>
          <w:b w:val="0"/>
          <w:bCs w:val="0"/>
          <w:color w:val="000000"/>
          <w:kern w:val="0"/>
          <w:sz w:val="32"/>
          <w:szCs w:val="32"/>
          <w:lang w:val="en-US" w:eastAsia="zh-CN" w:bidi="ar"/>
        </w:rPr>
        <w:t>线上+线下</w:t>
      </w:r>
      <w:r>
        <w:rPr>
          <w:rFonts w:hint="eastAsia" w:ascii="方正仿宋_GB18030" w:hAnsi="方正仿宋_GB18030" w:eastAsia="方正仿宋_GB18030" w:cs="方正仿宋_GB18030"/>
          <w:b w:val="0"/>
          <w:bCs w:val="0"/>
          <w:color w:val="000000"/>
          <w:kern w:val="0"/>
          <w:sz w:val="32"/>
          <w:szCs w:val="32"/>
          <w:lang w:val="en-US" w:eastAsia="zh-CN" w:bidi="ar"/>
        </w:rPr>
        <w:t>双渠道公示方式，兼顾信息查询的便捷性和覆盖面，确保被征收（搬迁）人方便、及时获取信息：</w:t>
      </w:r>
    </w:p>
    <w:p w14:paraId="3A3F8690">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1.线上公示：</w:t>
      </w:r>
      <w:r>
        <w:rPr>
          <w:rFonts w:hint="eastAsia" w:ascii="方正仿宋_GB18030" w:hAnsi="方正仿宋_GB18030" w:eastAsia="方正仿宋_GB18030" w:cs="方正仿宋_GB18030"/>
          <w:b w:val="0"/>
          <w:bCs w:val="0"/>
          <w:color w:val="000000"/>
          <w:sz w:val="32"/>
          <w:szCs w:val="32"/>
        </w:rPr>
        <w:t>通过扫描征收（搬迁）现场指挥部二维码，登录区阳光征收公示系统查询相关补偿安置信息；</w:t>
      </w:r>
    </w:p>
    <w:p w14:paraId="70878D1F">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2.线下公示：</w:t>
      </w:r>
      <w:r>
        <w:rPr>
          <w:rFonts w:hint="eastAsia" w:ascii="方正仿宋_GB18030" w:hAnsi="方正仿宋_GB18030" w:eastAsia="方正仿宋_GB18030" w:cs="方正仿宋_GB18030"/>
          <w:b w:val="0"/>
          <w:bCs w:val="0"/>
          <w:color w:val="000000"/>
          <w:sz w:val="32"/>
          <w:szCs w:val="32"/>
        </w:rPr>
        <w:t>在项目现场醒目位置进行标准化公示，</w:t>
      </w:r>
      <w:r>
        <w:rPr>
          <w:rStyle w:val="10"/>
          <w:rFonts w:hint="eastAsia" w:ascii="方正仿宋_GB18030" w:hAnsi="方正仿宋_GB18030" w:eastAsia="方正仿宋_GB18030" w:cs="方正仿宋_GB18030"/>
          <w:b w:val="0"/>
          <w:bCs w:val="0"/>
          <w:color w:val="000000"/>
          <w:sz w:val="32"/>
          <w:szCs w:val="32"/>
        </w:rPr>
        <w:t>公示时间不少于15日</w:t>
      </w:r>
      <w:r>
        <w:rPr>
          <w:rFonts w:hint="eastAsia" w:ascii="方正仿宋_GB18030" w:hAnsi="方正仿宋_GB18030" w:eastAsia="方正仿宋_GB18030" w:cs="方正仿宋_GB18030"/>
          <w:b w:val="0"/>
          <w:bCs w:val="0"/>
          <w:color w:val="000000"/>
          <w:sz w:val="32"/>
          <w:szCs w:val="32"/>
        </w:rPr>
        <w:t>；</w:t>
      </w:r>
    </w:p>
    <w:p w14:paraId="3BC47105">
      <w:pPr>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仿宋_GB18030" w:hAnsi="方正仿宋_GB18030" w:eastAsia="方正仿宋_GB18030" w:cs="方正仿宋_GB18030"/>
          <w:b w:val="0"/>
          <w:bCs w:val="0"/>
          <w:color w:val="000000"/>
          <w:sz w:val="32"/>
          <w:szCs w:val="32"/>
        </w:rPr>
      </w:pPr>
      <w:r>
        <w:rPr>
          <w:rFonts w:hint="eastAsia" w:ascii="方正仿宋_GB18030" w:hAnsi="方正仿宋_GB18030" w:eastAsia="方正仿宋_GB18030" w:cs="方正仿宋_GB18030"/>
          <w:b w:val="0"/>
          <w:bCs w:val="0"/>
          <w:color w:val="000000"/>
          <w:sz w:val="32"/>
          <w:szCs w:val="32"/>
          <w:lang w:val="en-US" w:eastAsia="zh-CN"/>
        </w:rPr>
        <w:t>3.</w:t>
      </w:r>
      <w:r>
        <w:rPr>
          <w:rFonts w:hint="eastAsia" w:ascii="方正仿宋_GB18030" w:hAnsi="方正仿宋_GB18030" w:eastAsia="方正仿宋_GB18030" w:cs="方正仿宋_GB18030"/>
          <w:b w:val="0"/>
          <w:bCs w:val="0"/>
          <w:color w:val="000000"/>
          <w:sz w:val="32"/>
          <w:szCs w:val="32"/>
        </w:rPr>
        <w:t>各镇（街道）需对公示内容现场拍照留存，不得擅自修改、省略公示信息。</w:t>
      </w:r>
    </w:p>
    <w:p w14:paraId="781E860B">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七、监督体系完善，强化责任追究</w:t>
      </w:r>
    </w:p>
    <w:p w14:paraId="0CF7E909">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楷体_GB2312" w:hAnsi="方正楷体_GB2312" w:eastAsia="方正楷体_GB2312" w:cs="方正楷体_GB2312"/>
          <w:b w:val="0"/>
          <w:bCs w:val="0"/>
          <w:color w:val="000000"/>
          <w:sz w:val="32"/>
          <w:szCs w:val="32"/>
        </w:rPr>
      </w:pPr>
      <w:r>
        <w:rPr>
          <w:rFonts w:hint="eastAsia" w:ascii="方正楷体_GB2312" w:hAnsi="方正楷体_GB2312" w:eastAsia="方正楷体_GB2312" w:cs="方正楷体_GB2312"/>
          <w:b w:val="0"/>
          <w:bCs w:val="0"/>
          <w:color w:val="000000"/>
          <w:sz w:val="32"/>
          <w:szCs w:val="32"/>
        </w:rPr>
        <w:t>（一）多层级监督机制</w:t>
      </w:r>
    </w:p>
    <w:p w14:paraId="21961FFC">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方正仿宋_GB18030" w:hAnsi="方正仿宋_GB18030" w:eastAsia="方正仿宋_GB18030" w:cs="方正仿宋_GB18030"/>
          <w:b w:val="0"/>
          <w:bCs w:val="0"/>
          <w:color w:val="000000"/>
          <w:kern w:val="0"/>
          <w:sz w:val="32"/>
          <w:szCs w:val="32"/>
          <w:lang w:val="en-US" w:eastAsia="zh-CN" w:bidi="ar"/>
        </w:rPr>
      </w:pPr>
      <w:r>
        <w:rPr>
          <w:rFonts w:hint="eastAsia" w:ascii="方正仿宋_GB18030" w:hAnsi="方正仿宋_GB18030" w:eastAsia="方正仿宋_GB18030" w:cs="方正仿宋_GB18030"/>
          <w:b w:val="0"/>
          <w:bCs w:val="0"/>
          <w:color w:val="000000"/>
          <w:kern w:val="0"/>
          <w:sz w:val="32"/>
          <w:szCs w:val="32"/>
          <w:lang w:val="en-US" w:eastAsia="zh-CN" w:bidi="ar"/>
        </w:rPr>
        <w:t>构建全方位、多维度的监督体系，确保“阳光征收”工作落到实处：</w:t>
      </w:r>
    </w:p>
    <w:p w14:paraId="37D7A736">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方正仿宋_GB18030" w:hAnsi="方正仿宋_GB18030" w:eastAsia="方正仿宋_GB18030" w:cs="方正仿宋_GB18030"/>
          <w:b w:val="0"/>
          <w:bCs w:val="0"/>
          <w:color w:val="000000"/>
          <w:sz w:val="32"/>
          <w:szCs w:val="32"/>
        </w:rPr>
      </w:pPr>
      <w:r>
        <w:rPr>
          <w:rStyle w:val="10"/>
          <w:rFonts w:hint="eastAsia" w:ascii="方正仿宋_GB18030" w:hAnsi="方正仿宋_GB18030" w:eastAsia="方正仿宋_GB18030" w:cs="方正仿宋_GB18030"/>
          <w:b w:val="0"/>
          <w:bCs w:val="0"/>
          <w:color w:val="000000"/>
          <w:sz w:val="32"/>
          <w:szCs w:val="32"/>
          <w:lang w:val="en-US" w:eastAsia="zh-CN"/>
        </w:rPr>
        <w:t>1.</w:t>
      </w:r>
      <w:r>
        <w:rPr>
          <w:rStyle w:val="10"/>
          <w:rFonts w:hint="eastAsia" w:ascii="方正仿宋_GB18030" w:hAnsi="方正仿宋_GB18030" w:eastAsia="方正仿宋_GB18030" w:cs="方正仿宋_GB18030"/>
          <w:b w:val="0"/>
          <w:bCs w:val="0"/>
          <w:color w:val="000000"/>
          <w:sz w:val="32"/>
          <w:szCs w:val="32"/>
        </w:rPr>
        <w:t>行政监督</w:t>
      </w:r>
      <w:r>
        <w:rPr>
          <w:rFonts w:hint="eastAsia" w:ascii="方正仿宋_GB18030" w:hAnsi="方正仿宋_GB18030" w:eastAsia="方正仿宋_GB18030" w:cs="方正仿宋_GB18030"/>
          <w:b w:val="0"/>
          <w:bCs w:val="0"/>
          <w:color w:val="000000"/>
          <w:sz w:val="32"/>
          <w:szCs w:val="32"/>
        </w:rPr>
        <w:t>：区效能监察部门与房屋征收部门联合开展监督检查，发布检查通报，督促问题整改；</w:t>
      </w:r>
    </w:p>
    <w:p w14:paraId="729E9443">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方正仿宋_GB18030" w:hAnsi="方正仿宋_GB18030" w:eastAsia="方正仿宋_GB18030" w:cs="方正仿宋_GB18030"/>
          <w:b w:val="0"/>
          <w:bCs w:val="0"/>
          <w:color w:val="000000"/>
          <w:sz w:val="32"/>
          <w:szCs w:val="32"/>
        </w:rPr>
      </w:pPr>
      <w:r>
        <w:rPr>
          <w:rStyle w:val="10"/>
          <w:rFonts w:hint="eastAsia" w:ascii="方正仿宋_GB18030" w:hAnsi="方正仿宋_GB18030" w:eastAsia="方正仿宋_GB18030" w:cs="方正仿宋_GB18030"/>
          <w:b w:val="0"/>
          <w:bCs w:val="0"/>
          <w:color w:val="000000"/>
          <w:sz w:val="32"/>
          <w:szCs w:val="32"/>
          <w:lang w:val="en-US" w:eastAsia="zh-CN"/>
        </w:rPr>
        <w:t>2.</w:t>
      </w:r>
      <w:r>
        <w:rPr>
          <w:rStyle w:val="10"/>
          <w:rFonts w:hint="eastAsia" w:ascii="方正仿宋_GB18030" w:hAnsi="方正仿宋_GB18030" w:eastAsia="方正仿宋_GB18030" w:cs="方正仿宋_GB18030"/>
          <w:b w:val="0"/>
          <w:bCs w:val="0"/>
          <w:color w:val="000000"/>
          <w:sz w:val="32"/>
          <w:szCs w:val="32"/>
        </w:rPr>
        <w:t>专项监督</w:t>
      </w:r>
      <w:r>
        <w:rPr>
          <w:rFonts w:hint="eastAsia" w:ascii="方正仿宋_GB18030" w:hAnsi="方正仿宋_GB18030" w:eastAsia="方正仿宋_GB18030" w:cs="方正仿宋_GB18030"/>
          <w:b w:val="0"/>
          <w:bCs w:val="0"/>
          <w:color w:val="000000"/>
          <w:sz w:val="32"/>
          <w:szCs w:val="32"/>
        </w:rPr>
        <w:t>：工作全程接受人大、纪检监察、审计、新闻媒体的监督，相关单位主动配合监督工作；</w:t>
      </w:r>
    </w:p>
    <w:p w14:paraId="43BFF499">
      <w:pPr>
        <w:pStyle w:val="3"/>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方正仿宋_GB18030" w:hAnsi="方正仿宋_GB18030" w:eastAsia="方正仿宋_GB18030" w:cs="方正仿宋_GB18030"/>
          <w:b w:val="0"/>
          <w:bCs w:val="0"/>
          <w:color w:val="000000"/>
          <w:sz w:val="32"/>
          <w:szCs w:val="32"/>
        </w:rPr>
      </w:pPr>
      <w:r>
        <w:rPr>
          <w:rStyle w:val="10"/>
          <w:rFonts w:hint="eastAsia" w:ascii="方正仿宋_GB18030" w:hAnsi="方正仿宋_GB18030" w:eastAsia="方正仿宋_GB18030" w:cs="方正仿宋_GB18030"/>
          <w:b w:val="0"/>
          <w:bCs w:val="0"/>
          <w:color w:val="000000"/>
          <w:sz w:val="32"/>
          <w:szCs w:val="32"/>
          <w:lang w:val="en-US" w:eastAsia="zh-CN"/>
        </w:rPr>
        <w:t>3.</w:t>
      </w:r>
      <w:r>
        <w:rPr>
          <w:rStyle w:val="10"/>
          <w:rFonts w:hint="eastAsia" w:ascii="方正仿宋_GB18030" w:hAnsi="方正仿宋_GB18030" w:eastAsia="方正仿宋_GB18030" w:cs="方正仿宋_GB18030"/>
          <w:b w:val="0"/>
          <w:bCs w:val="0"/>
          <w:color w:val="000000"/>
          <w:sz w:val="32"/>
          <w:szCs w:val="32"/>
        </w:rPr>
        <w:t>群众监督</w:t>
      </w:r>
      <w:r>
        <w:rPr>
          <w:rFonts w:hint="eastAsia" w:ascii="方正仿宋_GB18030" w:hAnsi="方正仿宋_GB18030" w:eastAsia="方正仿宋_GB18030" w:cs="方正仿宋_GB18030"/>
          <w:b w:val="0"/>
          <w:bCs w:val="0"/>
          <w:color w:val="000000"/>
          <w:sz w:val="32"/>
          <w:szCs w:val="32"/>
        </w:rPr>
        <w:t>：各征收（搬迁）现场设立举报箱、公布举报监督电话，接受群众举报。</w:t>
      </w:r>
    </w:p>
    <w:p w14:paraId="59D58E7A">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楷体_GB2312" w:hAnsi="方正楷体_GB2312" w:eastAsia="方正楷体_GB2312" w:cs="方正楷体_GB2312"/>
          <w:b w:val="0"/>
          <w:bCs w:val="0"/>
          <w:color w:val="000000"/>
          <w:sz w:val="32"/>
          <w:szCs w:val="32"/>
        </w:rPr>
      </w:pPr>
      <w:r>
        <w:rPr>
          <w:rFonts w:hint="eastAsia" w:ascii="方正楷体_GB2312" w:hAnsi="方正楷体_GB2312" w:eastAsia="方正楷体_GB2312" w:cs="方正楷体_GB2312"/>
          <w:b w:val="0"/>
          <w:bCs w:val="0"/>
          <w:color w:val="000000"/>
          <w:sz w:val="32"/>
          <w:szCs w:val="32"/>
        </w:rPr>
        <w:t>（二）举报处理要求</w:t>
      </w:r>
    </w:p>
    <w:p w14:paraId="18E88AF7">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方正仿宋_GB18030" w:hAnsi="方正仿宋_GB18030" w:eastAsia="方正仿宋_GB18030" w:cs="方正仿宋_GB18030"/>
          <w:b w:val="0"/>
          <w:bCs w:val="0"/>
          <w:color w:val="000000"/>
          <w:kern w:val="0"/>
          <w:sz w:val="32"/>
          <w:szCs w:val="32"/>
          <w:lang w:val="en-US" w:eastAsia="zh-CN" w:bidi="ar"/>
        </w:rPr>
      </w:pPr>
      <w:r>
        <w:rPr>
          <w:rFonts w:hint="eastAsia" w:ascii="方正仿宋_GB18030" w:hAnsi="方正仿宋_GB18030" w:eastAsia="方正仿宋_GB18030" w:cs="方正仿宋_GB18030"/>
          <w:b w:val="0"/>
          <w:bCs w:val="0"/>
          <w:color w:val="000000"/>
          <w:kern w:val="0"/>
          <w:sz w:val="32"/>
          <w:szCs w:val="32"/>
          <w:lang w:val="en-US" w:eastAsia="zh-CN" w:bidi="ar"/>
        </w:rPr>
        <w:t>接到群众举报后，区相关部门及时组织调查核实，并在</w:t>
      </w:r>
      <w:r>
        <w:rPr>
          <w:rStyle w:val="10"/>
          <w:rFonts w:hint="eastAsia" w:ascii="方正仿宋_GB18030" w:hAnsi="方正仿宋_GB18030" w:eastAsia="方正仿宋_GB18030" w:cs="方正仿宋_GB18030"/>
          <w:b w:val="0"/>
          <w:bCs w:val="0"/>
          <w:color w:val="000000"/>
          <w:kern w:val="0"/>
          <w:sz w:val="32"/>
          <w:szCs w:val="32"/>
          <w:lang w:val="en-US" w:eastAsia="zh-CN" w:bidi="ar"/>
        </w:rPr>
        <w:t>30个工作日内</w:t>
      </w:r>
      <w:r>
        <w:rPr>
          <w:rFonts w:hint="eastAsia" w:ascii="方正仿宋_GB18030" w:hAnsi="方正仿宋_GB18030" w:eastAsia="方正仿宋_GB18030" w:cs="方正仿宋_GB18030"/>
          <w:b w:val="0"/>
          <w:bCs w:val="0"/>
          <w:color w:val="000000"/>
          <w:kern w:val="0"/>
          <w:sz w:val="32"/>
          <w:szCs w:val="32"/>
          <w:lang w:val="en-US" w:eastAsia="zh-CN" w:bidi="ar"/>
        </w:rPr>
        <w:t>给予答复，做到件件有回音、事事有落实。</w:t>
      </w:r>
    </w:p>
    <w:p w14:paraId="45A37581">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jc w:val="left"/>
        <w:textAlignment w:val="auto"/>
        <w:rPr>
          <w:rFonts w:hint="eastAsia" w:ascii="方正楷体_GB2312" w:hAnsi="方正楷体_GB2312" w:eastAsia="方正楷体_GB2312" w:cs="方正楷体_GB2312"/>
          <w:b w:val="0"/>
          <w:bCs w:val="0"/>
          <w:color w:val="000000"/>
          <w:sz w:val="32"/>
          <w:szCs w:val="32"/>
        </w:rPr>
      </w:pPr>
      <w:r>
        <w:rPr>
          <w:rFonts w:hint="eastAsia" w:ascii="方正楷体_GB2312" w:hAnsi="方正楷体_GB2312" w:eastAsia="方正楷体_GB2312" w:cs="方正楷体_GB2312"/>
          <w:b w:val="0"/>
          <w:bCs w:val="0"/>
          <w:color w:val="000000"/>
          <w:sz w:val="32"/>
          <w:szCs w:val="32"/>
        </w:rPr>
        <w:t>（三）责任追究机制</w:t>
      </w:r>
    </w:p>
    <w:p w14:paraId="20253218">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方正仿宋_GB18030" w:hAnsi="方正仿宋_GB18030" w:eastAsia="方正仿宋_GB18030" w:cs="方正仿宋_GB18030"/>
          <w:b w:val="0"/>
          <w:bCs w:val="0"/>
          <w:color w:val="000000"/>
          <w:kern w:val="0"/>
          <w:sz w:val="32"/>
          <w:szCs w:val="32"/>
          <w:lang w:val="en-US" w:eastAsia="zh-CN" w:bidi="ar"/>
        </w:rPr>
      </w:pPr>
      <w:r>
        <w:rPr>
          <w:rFonts w:hint="eastAsia" w:ascii="方正仿宋_GB18030" w:hAnsi="方正仿宋_GB18030" w:eastAsia="方正仿宋_GB18030" w:cs="方正仿宋_GB18030"/>
          <w:b w:val="0"/>
          <w:bCs w:val="0"/>
          <w:color w:val="000000"/>
          <w:kern w:val="0"/>
          <w:sz w:val="32"/>
          <w:szCs w:val="32"/>
          <w:lang w:val="en-US" w:eastAsia="zh-CN" w:bidi="ar"/>
        </w:rPr>
        <w:t>对在征收（搬迁）过程中，拒不公开信息、公开信息严重不符、利用职权干预信息公示等违反法律法规和纪律规定，影响“阳光征收”工作、造成不良影响的，依法依规追究相关责任人责任；区纪检监察机关对其中的违法违纪问题进行严肃查处。</w:t>
      </w:r>
    </w:p>
    <w:p w14:paraId="77E94085">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八、实施时间与解释主体</w:t>
      </w:r>
      <w:bookmarkStart w:id="0" w:name="_GoBack"/>
      <w:bookmarkEnd w:id="0"/>
    </w:p>
    <w:p w14:paraId="1A9AEFCF">
      <w:pPr>
        <w:pStyle w:val="4"/>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b w:val="0"/>
          <w:bCs w:val="0"/>
        </w:rPr>
      </w:pPr>
      <w:r>
        <w:rPr>
          <w:rFonts w:hint="eastAsia" w:ascii="方正仿宋_GB18030" w:hAnsi="方正仿宋_GB18030" w:eastAsia="方正仿宋_GB18030" w:cs="方正仿宋_GB18030"/>
          <w:b w:val="0"/>
          <w:bCs w:val="0"/>
          <w:color w:val="000000"/>
          <w:kern w:val="0"/>
          <w:sz w:val="32"/>
          <w:szCs w:val="32"/>
          <w:lang w:val="en-US" w:eastAsia="zh-CN" w:bidi="ar"/>
        </w:rPr>
        <w:t>本《意见》自发布之日起施行，适用于施行后的所有房屋征收（搬迁）项目，由泰州医药高新区（高港区）住房和城乡建设局负责解释。</w:t>
      </w:r>
    </w:p>
    <w:p w14:paraId="7C44DB9C">
      <w:pPr>
        <w:keepNext/>
        <w:keepLines w:val="0"/>
        <w:pageBreakBefore w:val="0"/>
        <w:widowControl/>
        <w:kinsoku/>
        <w:wordWrap/>
        <w:overflowPunct w:val="0"/>
        <w:topLinePunct w:val="0"/>
        <w:autoSpaceDE/>
        <w:autoSpaceDN/>
        <w:bidi w:val="0"/>
        <w:adjustRightInd/>
        <w:snapToGrid/>
        <w:spacing w:line="540" w:lineRule="exact"/>
        <w:textAlignment w:val="auto"/>
        <w:rPr>
          <w:rFonts w:hint="eastAsia" w:ascii="方正仿宋_GB18030" w:hAnsi="方正仿宋_GB18030" w:eastAsia="方正仿宋_GB18030" w:cs="方正仿宋_GB18030"/>
          <w:b w:val="0"/>
          <w:bCs w:val="0"/>
          <w:sz w:val="32"/>
          <w:szCs w:val="32"/>
        </w:rPr>
      </w:pPr>
    </w:p>
    <w:p w14:paraId="3AA83F7D">
      <w:pPr>
        <w:rPr>
          <w:rFonts w:hint="eastAsia"/>
        </w:rPr>
      </w:pPr>
    </w:p>
    <w:p w14:paraId="524A770E">
      <w:pPr>
        <w:jc w:val="right"/>
        <w:rPr>
          <w:rFonts w:hint="eastAsia" w:ascii="方正仿宋_GB18030" w:hAnsi="方正仿宋_GB18030" w:eastAsia="方正仿宋_GB18030" w:cs="方正仿宋_GB18030"/>
          <w:b w:val="0"/>
          <w:bCs w:val="0"/>
          <w:color w:val="000000"/>
          <w:kern w:val="0"/>
          <w:sz w:val="32"/>
          <w:szCs w:val="32"/>
          <w:lang w:val="en-US" w:eastAsia="zh-CN" w:bidi="ar"/>
        </w:rPr>
      </w:pPr>
      <w:r>
        <w:rPr>
          <w:rFonts w:hint="eastAsia" w:ascii="方正仿宋_GB18030" w:hAnsi="方正仿宋_GB18030" w:eastAsia="方正仿宋_GB18030" w:cs="方正仿宋_GB18030"/>
          <w:b w:val="0"/>
          <w:bCs w:val="0"/>
          <w:color w:val="000000"/>
          <w:kern w:val="0"/>
          <w:sz w:val="32"/>
          <w:szCs w:val="32"/>
          <w:lang w:val="en-US" w:eastAsia="zh-CN" w:bidi="ar"/>
        </w:rPr>
        <w:t>泰州医药高新区（高港区）住房和城乡建设局</w:t>
      </w:r>
    </w:p>
    <w:p w14:paraId="46B5B1DD">
      <w:pPr>
        <w:jc w:val="right"/>
        <w:rPr>
          <w:rFonts w:hint="eastAsia" w:ascii="方正仿宋_GB18030" w:hAnsi="方正仿宋_GB18030" w:eastAsia="方正仿宋_GB18030" w:cs="方正仿宋_GB18030"/>
          <w:b w:val="0"/>
          <w:bCs w:val="0"/>
          <w:color w:val="000000"/>
          <w:kern w:val="0"/>
          <w:sz w:val="32"/>
          <w:szCs w:val="32"/>
          <w:lang w:val="en-US" w:eastAsia="zh-CN" w:bidi="ar"/>
        </w:rPr>
      </w:pPr>
      <w:r>
        <w:rPr>
          <w:rFonts w:hint="eastAsia" w:ascii="方正仿宋_GB18030" w:hAnsi="方正仿宋_GB18030" w:eastAsia="方正仿宋_GB18030" w:cs="方正仿宋_GB18030"/>
          <w:b w:val="0"/>
          <w:bCs w:val="0"/>
          <w:color w:val="000000"/>
          <w:kern w:val="0"/>
          <w:sz w:val="32"/>
          <w:szCs w:val="32"/>
          <w:lang w:val="en-US" w:eastAsia="zh-CN" w:bidi="ar"/>
        </w:rPr>
        <w:t xml:space="preserve">              2026年3月11日</w:t>
      </w:r>
    </w:p>
    <w:sectPr>
      <w:footerReference r:id="rId3" w:type="default"/>
      <w:pgSz w:w="11906" w:h="16838"/>
      <w:pgMar w:top="2098" w:right="1531" w:bottom="1984" w:left="1531" w:header="851" w:footer="1587"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5EFAC1-0711-4295-82B4-A40559ACA9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A6331441-3FD8-41A5-AD9F-D4714812E12F}"/>
  </w:font>
  <w:font w:name="方正仿宋_GB18030">
    <w:panose1 w:val="02000000000000000000"/>
    <w:charset w:val="86"/>
    <w:family w:val="auto"/>
    <w:pitch w:val="default"/>
    <w:sig w:usb0="00000001" w:usb1="08000000" w:usb2="00000000" w:usb3="00000000" w:csb0="00040000" w:csb1="00000000"/>
    <w:embedRegular r:id="rId3" w:fontKey="{DC0A9895-88D3-4392-96B3-777785D176F9}"/>
  </w:font>
  <w:font w:name="仿宋_GB2312">
    <w:altName w:val="仿宋"/>
    <w:panose1 w:val="02010609030101010101"/>
    <w:charset w:val="86"/>
    <w:family w:val="modern"/>
    <w:pitch w:val="default"/>
    <w:sig w:usb0="00000000" w:usb1="00000000" w:usb2="00000010" w:usb3="00000000" w:csb0="00040000" w:csb1="00000000"/>
    <w:embedRegular r:id="rId4" w:fontKey="{920B2D53-E43D-4046-907B-7F83391312A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AC5A0016-8550-4653-89CE-4E6DB25973CF}"/>
  </w:font>
  <w:font w:name="方正楷体_GB2312">
    <w:panose1 w:val="02000000000000000000"/>
    <w:charset w:val="86"/>
    <w:family w:val="auto"/>
    <w:pitch w:val="default"/>
    <w:sig w:usb0="A00002BF" w:usb1="184F6CFA" w:usb2="00000012" w:usb3="00000000" w:csb0="00040001" w:csb1="00000000"/>
    <w:embedRegular r:id="rId6" w:fontKey="{6E192673-F80F-46F2-B518-1BDB145269A6}"/>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74C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043A2">
                          <w:pPr>
                            <w:pStyle w:val="5"/>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9043A2">
                    <w:pPr>
                      <w:pStyle w:val="5"/>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156"/>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C1AB3"/>
    <w:rsid w:val="03BE6BB4"/>
    <w:rsid w:val="059B1E55"/>
    <w:rsid w:val="16DF0F8A"/>
    <w:rsid w:val="1881312C"/>
    <w:rsid w:val="1B990B0F"/>
    <w:rsid w:val="1CF87735"/>
    <w:rsid w:val="23FB11F4"/>
    <w:rsid w:val="27D50D9F"/>
    <w:rsid w:val="2FB055B5"/>
    <w:rsid w:val="30AC1AB3"/>
    <w:rsid w:val="34401E2F"/>
    <w:rsid w:val="399107FC"/>
    <w:rsid w:val="405014B2"/>
    <w:rsid w:val="41204034"/>
    <w:rsid w:val="4C5145E8"/>
    <w:rsid w:val="4F6941A5"/>
    <w:rsid w:val="4FA3060A"/>
    <w:rsid w:val="53C02053"/>
    <w:rsid w:val="540D29FE"/>
    <w:rsid w:val="557C7A53"/>
    <w:rsid w:val="583E1A0D"/>
    <w:rsid w:val="5B8147BE"/>
    <w:rsid w:val="5BC052E6"/>
    <w:rsid w:val="5E7C4D4F"/>
    <w:rsid w:val="65DA24B0"/>
    <w:rsid w:val="66E514EF"/>
    <w:rsid w:val="6DE33CF7"/>
    <w:rsid w:val="70132790"/>
    <w:rsid w:val="7207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02c8a13c-3b1d-408c-9b67-87c90bc0d530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503383F6</paraID>
      <start>0</start>
      <end>1</end>
      <status>unmodified</status>
      <modifiedWord/>
      <trackRevisions>false</trackRevisions>
    </reviewItem>
    <reviewItem>
      <errorID>6708c8f7-3b2f-45a2-a386-c5e5d019f376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5A4C0D7F</paraID>
      <start>8</start>
      <end>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01b93-af09-45fa-9eae-56822d69d27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2184</Words>
  <Characters>2261</Characters>
  <Lines>0</Lines>
  <Paragraphs>0</Paragraphs>
  <TotalTime>11</TotalTime>
  <ScaleCrop>false</ScaleCrop>
  <LinksUpToDate>false</LinksUpToDate>
  <CharactersWithSpaces>2275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2026-03-11T02:45:00Z</dcterms:created>
  <dc:creator>邹小青</dc:creator>
  <cp:lastModifiedBy>榷</cp:lastModifiedBy>
  <dcterms:modified xsi:type="dcterms:W3CDTF">2026-03-11T07:42:15Z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B2ED59296ABD4A7BABD2AF22F3D2306F_11</vt:lpwstr>
  </property>
  <property fmtid="{D5CDD505-2E9C-101B-9397-08002B2CF9AE}" pid="4" name="KSOTemplateDocerSaveRecord">
    <vt:lpwstr>eyJoZGlkIjoiZDFhODcwMTBlYzE0MTA1MTE3NWFkZDEyMDhiZWIxMzciLCJ1c2VySWQiOiI0MjMwODQxMzUifQ==</vt:lpwstr>
  </property>
</Properties>
</file>