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FFFFFF"/>
          <w:lang w:val="en-US" w:eastAsia="zh-CN" w:bidi="ar-SA"/>
        </w:rPr>
        <w:t>就业困难人员认定条件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96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登记失业人员有下列情形之一的，可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以申请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认定为就业困难人员：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（一）低收入人口的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（二）女40周岁以上、男50周岁以上的；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（三）特困职工家庭的；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（四）残疾的；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（五）城镇零就业家庭和农村零转移家庭的；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（六）连续失业1年以上的；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（七）城市规划区范围内的被征地农民；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（八）优抚对象家庭的；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（九）军队退役的；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（十）市人民政府确定的其他就业困难人员。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ThhYjM2NjI1ZGQ5YzkwNjk1OTZjY2YyY2M0MzkifQ=="/>
  </w:docVars>
  <w:rsids>
    <w:rsidRoot w:val="6D9E3D98"/>
    <w:rsid w:val="6D9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2024-04-15T08:04:00Z</dcterms:created>
  <dc:creator>淡蓝色浅海</dc:creator>
  <cp:lastModifiedBy>淡蓝色浅海</cp:lastModifiedBy>
  <dcterms:modified xsi:type="dcterms:W3CDTF">2024-04-15T08:05:13Z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425FF5E512ED4AB181DABB1694DEC87E_11</vt:lpwstr>
  </property>
</Properties>
</file>